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AD008" w14:textId="77777777" w:rsidR="005E50F8" w:rsidRDefault="00781951">
      <w:pPr>
        <w:shd w:val="clear" w:color="auto" w:fill="FFFFFF"/>
        <w:spacing w:before="100" w:beforeAutospacing="1" w:after="100" w:afterAutospacing="1" w:line="240" w:lineRule="auto"/>
        <w:jc w:val="center"/>
        <w:rPr>
          <w:rFonts w:ascii="Helvetica" w:eastAsia="Times New Roman" w:hAnsi="Helvetica" w:cs="Helvetica"/>
          <w:b/>
          <w:bCs/>
          <w:color w:val="26282A"/>
          <w:sz w:val="24"/>
          <w:szCs w:val="24"/>
        </w:rPr>
      </w:pPr>
      <w:r>
        <w:rPr>
          <w:rFonts w:ascii="Helvetica" w:eastAsia="Times New Roman" w:hAnsi="Helvetica" w:cs="Helvetica"/>
          <w:b/>
          <w:bCs/>
          <w:color w:val="26282A"/>
          <w:sz w:val="24"/>
          <w:szCs w:val="24"/>
        </w:rPr>
        <w:t>POLICY PROHIBITING SEXUAL HARASSMENT</w:t>
      </w:r>
      <w:bookmarkStart w:id="0" w:name="_ednref1"/>
    </w:p>
    <w:p w14:paraId="3F4BA477" w14:textId="77777777" w:rsidR="005E50F8" w:rsidRDefault="00781951">
      <w:pPr>
        <w:shd w:val="clear" w:color="auto" w:fill="FFFFFF"/>
        <w:spacing w:before="100" w:beforeAutospacing="1" w:after="100" w:afterAutospacing="1" w:line="240" w:lineRule="auto"/>
        <w:jc w:val="center"/>
        <w:rPr>
          <w:rFonts w:ascii="Helvetica" w:eastAsia="Times New Roman" w:hAnsi="Helvetica" w:cs="Helvetica"/>
          <w:b/>
          <w:bCs/>
          <w:color w:val="26282A"/>
          <w:sz w:val="24"/>
          <w:szCs w:val="24"/>
        </w:rPr>
      </w:pPr>
      <w:r>
        <w:rPr>
          <w:rFonts w:ascii="Helvetica" w:eastAsia="Times New Roman" w:hAnsi="Helvetica" w:cs="Helvetica"/>
          <w:b/>
          <w:bCs/>
          <w:color w:val="26282A"/>
          <w:sz w:val="24"/>
          <w:szCs w:val="24"/>
        </w:rPr>
        <w:t>January 2018</w:t>
      </w:r>
      <w:bookmarkEnd w:id="0"/>
    </w:p>
    <w:p w14:paraId="53F12FBD" w14:textId="77777777" w:rsidR="005E50F8" w:rsidRDefault="00781951">
      <w:pPr>
        <w:shd w:val="clear" w:color="auto" w:fill="FFFFFF"/>
        <w:spacing w:before="100" w:beforeAutospacing="1" w:after="100" w:afterAutospacing="1" w:line="240" w:lineRule="auto"/>
        <w:jc w:val="center"/>
        <w:rPr>
          <w:rFonts w:ascii="Helvetica" w:eastAsia="Times New Roman" w:hAnsi="Helvetica" w:cs="Helvetica"/>
          <w:b/>
          <w:bCs/>
          <w:color w:val="26282A"/>
          <w:sz w:val="24"/>
          <w:szCs w:val="24"/>
        </w:rPr>
      </w:pPr>
      <w:r>
        <w:rPr>
          <w:rFonts w:ascii="Helvetica" w:eastAsia="Times New Roman" w:hAnsi="Helvetica" w:cs="Helvetica"/>
          <w:b/>
          <w:bCs/>
          <w:color w:val="26282A"/>
          <w:sz w:val="24"/>
          <w:szCs w:val="24"/>
        </w:rPr>
        <w:t>Bradford Public Library District</w:t>
      </w:r>
    </w:p>
    <w:p w14:paraId="66C13C93"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b/>
          <w:bCs/>
          <w:color w:val="26282A"/>
          <w:sz w:val="24"/>
          <w:szCs w:val="24"/>
        </w:rPr>
        <w:t> </w:t>
      </w:r>
    </w:p>
    <w:p w14:paraId="1E3DC838"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i/>
          <w:iCs/>
          <w:color w:val="26282A"/>
          <w:sz w:val="24"/>
          <w:szCs w:val="24"/>
        </w:rPr>
        <w:t>I.</w:t>
      </w:r>
      <w:r>
        <w:rPr>
          <w:rFonts w:ascii="Helvetica" w:eastAsia="Times New Roman" w:hAnsi="Helvetica" w:cs="Helvetica"/>
          <w:color w:val="26282A"/>
          <w:sz w:val="14"/>
          <w:szCs w:val="14"/>
        </w:rPr>
        <w:t>                    </w:t>
      </w:r>
      <w:r>
        <w:rPr>
          <w:rFonts w:ascii="Helvetica" w:eastAsia="Times New Roman" w:hAnsi="Helvetica" w:cs="Helvetica"/>
          <w:i/>
          <w:iCs/>
          <w:color w:val="26282A"/>
          <w:sz w:val="24"/>
          <w:szCs w:val="24"/>
        </w:rPr>
        <w:t>PROHIBITION ON SEXUAL HARASSMENT</w:t>
      </w:r>
    </w:p>
    <w:p w14:paraId="4336C6A3"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 xml:space="preserve">It is unlawful to harass a person because of that person’s sex. The courts have determined that sexual </w:t>
      </w:r>
      <w:r>
        <w:rPr>
          <w:rFonts w:ascii="Helvetica" w:eastAsia="Times New Roman" w:hAnsi="Helvetica" w:cs="Helvetica"/>
          <w:color w:val="26282A"/>
          <w:sz w:val="24"/>
          <w:szCs w:val="24"/>
        </w:rPr>
        <w:t>harassment is a form of discrimination under Title VII of the U.S. Civil Rights Act of 1964, as amended in 1991. All persons have a right to work in an environment free from sexual harassment. Sexual harassment is unacceptable misconduct which affects indi</w:t>
      </w:r>
      <w:r>
        <w:rPr>
          <w:rFonts w:ascii="Helvetica" w:eastAsia="Times New Roman" w:hAnsi="Helvetica" w:cs="Helvetica"/>
          <w:color w:val="26282A"/>
          <w:sz w:val="24"/>
          <w:szCs w:val="24"/>
        </w:rPr>
        <w:t>viduals of all genders and sexual orientations. It is a policy of the Bradford Public Library District to prohibit harassment of any person by other employees, board members or the general public. </w:t>
      </w:r>
    </w:p>
    <w:p w14:paraId="276F4132"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i/>
          <w:iCs/>
          <w:color w:val="26282A"/>
          <w:sz w:val="24"/>
          <w:szCs w:val="24"/>
        </w:rPr>
        <w:t>II.</w:t>
      </w:r>
      <w:r>
        <w:rPr>
          <w:rFonts w:ascii="Helvetica" w:eastAsia="Times New Roman" w:hAnsi="Helvetica" w:cs="Helvetica"/>
          <w:color w:val="26282A"/>
          <w:sz w:val="14"/>
          <w:szCs w:val="14"/>
        </w:rPr>
        <w:t>                  </w:t>
      </w:r>
      <w:r>
        <w:rPr>
          <w:rFonts w:ascii="Helvetica" w:eastAsia="Times New Roman" w:hAnsi="Helvetica" w:cs="Helvetica"/>
          <w:i/>
          <w:iCs/>
          <w:color w:val="26282A"/>
          <w:sz w:val="24"/>
          <w:szCs w:val="24"/>
        </w:rPr>
        <w:t>DEFINITION OF SEXUAL HARASSMENT</w:t>
      </w:r>
    </w:p>
    <w:p w14:paraId="7224D6CE"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 xml:space="preserve">This </w:t>
      </w:r>
      <w:r>
        <w:rPr>
          <w:rFonts w:ascii="Helvetica" w:eastAsia="Times New Roman" w:hAnsi="Helvetica" w:cs="Helvetica"/>
          <w:color w:val="26282A"/>
          <w:sz w:val="24"/>
          <w:szCs w:val="24"/>
        </w:rPr>
        <w:t>policy adopts the definition of sexual harassment as stated in the Illinois Human Rights Act, which currently defines sexual harassment as:</w:t>
      </w:r>
    </w:p>
    <w:p w14:paraId="0A518D28"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Any unwelcome sexual advances or requests for sexual favors or any conduct of a sexual nature when:</w:t>
      </w:r>
    </w:p>
    <w:p w14:paraId="75A0F5CB"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(1)</w:t>
      </w:r>
      <w:r>
        <w:rPr>
          <w:rFonts w:ascii="Helvetica" w:eastAsia="Times New Roman" w:hAnsi="Helvetica" w:cs="Helvetica"/>
          <w:color w:val="26282A"/>
          <w:sz w:val="14"/>
          <w:szCs w:val="14"/>
        </w:rPr>
        <w:t>    </w:t>
      </w:r>
      <w:r>
        <w:rPr>
          <w:rFonts w:ascii="Helvetica" w:eastAsia="Times New Roman" w:hAnsi="Helvetica" w:cs="Helvetica"/>
          <w:color w:val="26282A"/>
          <w:sz w:val="24"/>
          <w:szCs w:val="24"/>
        </w:rPr>
        <w:t>Submissio</w:t>
      </w:r>
      <w:r>
        <w:rPr>
          <w:rFonts w:ascii="Helvetica" w:eastAsia="Times New Roman" w:hAnsi="Helvetica" w:cs="Helvetica"/>
          <w:color w:val="26282A"/>
          <w:sz w:val="24"/>
          <w:szCs w:val="24"/>
        </w:rPr>
        <w:t>n to such conduct is made either explicitly or implicitly a term or condition of an individual’s employment,</w:t>
      </w:r>
    </w:p>
    <w:p w14:paraId="3B026AC7"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(2)</w:t>
      </w:r>
      <w:r>
        <w:rPr>
          <w:rFonts w:ascii="Helvetica" w:eastAsia="Times New Roman" w:hAnsi="Helvetica" w:cs="Helvetica"/>
          <w:color w:val="26282A"/>
          <w:sz w:val="14"/>
          <w:szCs w:val="14"/>
        </w:rPr>
        <w:t>    </w:t>
      </w:r>
      <w:r>
        <w:rPr>
          <w:rFonts w:ascii="Helvetica" w:eastAsia="Times New Roman" w:hAnsi="Helvetica" w:cs="Helvetica"/>
          <w:color w:val="26282A"/>
          <w:sz w:val="24"/>
          <w:szCs w:val="24"/>
        </w:rPr>
        <w:t>Submission to or rejection of such conduct by an individual is used as the basis for employment decisions affecting such individual, or</w:t>
      </w:r>
    </w:p>
    <w:p w14:paraId="66C71BD9"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(3)</w:t>
      </w:r>
      <w:r>
        <w:rPr>
          <w:rFonts w:ascii="Helvetica" w:eastAsia="Times New Roman" w:hAnsi="Helvetica" w:cs="Helvetica"/>
          <w:color w:val="26282A"/>
          <w:sz w:val="14"/>
          <w:szCs w:val="14"/>
        </w:rPr>
        <w:t> </w:t>
      </w:r>
      <w:r>
        <w:rPr>
          <w:rFonts w:ascii="Helvetica" w:eastAsia="Times New Roman" w:hAnsi="Helvetica" w:cs="Helvetica"/>
          <w:color w:val="26282A"/>
          <w:sz w:val="14"/>
          <w:szCs w:val="14"/>
        </w:rPr>
        <w:t>   </w:t>
      </w:r>
      <w:r>
        <w:rPr>
          <w:rFonts w:ascii="Helvetica" w:eastAsia="Times New Roman" w:hAnsi="Helvetica" w:cs="Helvetica"/>
          <w:color w:val="26282A"/>
          <w:sz w:val="24"/>
          <w:szCs w:val="24"/>
        </w:rPr>
        <w:t>Such conduct has the purpose or effect of substantially interfering with an individual’s work performance or creating an intimidating, hostile or offensive working environment.</w:t>
      </w:r>
    </w:p>
    <w:p w14:paraId="7F843F93"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Conduct which may constitute sexual harassment includes:</w:t>
      </w:r>
    </w:p>
    <w:p w14:paraId="0F87F240"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Symbol" w:eastAsia="Times New Roman" w:hAnsi="Symbol" w:cs="Helvetica"/>
          <w:color w:val="26282A"/>
          <w:sz w:val="24"/>
          <w:szCs w:val="24"/>
        </w:rPr>
        <w:t></w:t>
      </w:r>
      <w:r>
        <w:rPr>
          <w:rFonts w:ascii="Helvetica" w:eastAsia="Times New Roman" w:hAnsi="Helvetica" w:cs="Helvetica"/>
          <w:color w:val="26282A"/>
          <w:sz w:val="24"/>
          <w:szCs w:val="24"/>
        </w:rPr>
        <w:t>Verbal:  sexual in</w:t>
      </w:r>
      <w:r>
        <w:rPr>
          <w:rFonts w:ascii="Helvetica" w:eastAsia="Times New Roman" w:hAnsi="Helvetica" w:cs="Helvetica"/>
          <w:color w:val="26282A"/>
          <w:sz w:val="24"/>
          <w:szCs w:val="24"/>
        </w:rPr>
        <w:t>nuendos, suggestive comments, insults, humor, and jokes about sex, anatomy or gender-specific traits, sexual propositions, threats, repeated requests for dates, or statements about other employees, even outside of their presence, of a sexual nature.</w:t>
      </w:r>
    </w:p>
    <w:p w14:paraId="6D6540DD"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Symbol" w:eastAsia="Times New Roman" w:hAnsi="Symbol" w:cs="Helvetica"/>
          <w:color w:val="26282A"/>
          <w:sz w:val="24"/>
          <w:szCs w:val="24"/>
        </w:rPr>
        <w:t></w:t>
      </w:r>
      <w:r>
        <w:rPr>
          <w:rFonts w:ascii="Helvetica" w:eastAsia="Times New Roman" w:hAnsi="Helvetica" w:cs="Helvetica"/>
          <w:color w:val="26282A"/>
          <w:sz w:val="24"/>
          <w:szCs w:val="24"/>
        </w:rPr>
        <w:t>Non-verbal:  suggestive or insulting sounds (whistling), leering, obscene gestures, sexually suggestive bodily gestures, “catcalls”, “smacking” or “kissing” noises.</w:t>
      </w:r>
    </w:p>
    <w:p w14:paraId="6076404A"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Symbol" w:eastAsia="Times New Roman" w:hAnsi="Symbol" w:cs="Helvetica"/>
          <w:color w:val="26282A"/>
          <w:sz w:val="24"/>
          <w:szCs w:val="24"/>
        </w:rPr>
        <w:t></w:t>
      </w:r>
      <w:r>
        <w:rPr>
          <w:rFonts w:ascii="Helvetica" w:eastAsia="Times New Roman" w:hAnsi="Helvetica" w:cs="Helvetica"/>
          <w:color w:val="26282A"/>
          <w:sz w:val="24"/>
          <w:szCs w:val="24"/>
        </w:rPr>
        <w:t>Visual: posters, signs, pin-ups or slogans of a sexual nature, viewing pornographic materi</w:t>
      </w:r>
      <w:r>
        <w:rPr>
          <w:rFonts w:ascii="Helvetica" w:eastAsia="Times New Roman" w:hAnsi="Helvetica" w:cs="Helvetica"/>
          <w:color w:val="26282A"/>
          <w:sz w:val="24"/>
          <w:szCs w:val="24"/>
        </w:rPr>
        <w:t>al or websites.</w:t>
      </w:r>
    </w:p>
    <w:p w14:paraId="338D4734"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Symbol" w:eastAsia="Times New Roman" w:hAnsi="Symbol" w:cs="Helvetica"/>
          <w:color w:val="26282A"/>
          <w:sz w:val="24"/>
          <w:szCs w:val="24"/>
        </w:rPr>
        <w:t></w:t>
      </w:r>
      <w:r>
        <w:rPr>
          <w:rFonts w:ascii="Helvetica" w:eastAsia="Times New Roman" w:hAnsi="Helvetica" w:cs="Helvetica"/>
          <w:color w:val="26282A"/>
          <w:sz w:val="24"/>
          <w:szCs w:val="24"/>
        </w:rPr>
        <w:t>Physical: touching, unwelcome hugging or kissing, pinching, brushing the body, any coerced sexual act or actual assault.</w:t>
      </w:r>
    </w:p>
    <w:p w14:paraId="4DF15415"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Symbol" w:eastAsia="Times New Roman" w:hAnsi="Symbol" w:cs="Helvetica"/>
          <w:color w:val="26282A"/>
          <w:sz w:val="24"/>
          <w:szCs w:val="24"/>
        </w:rPr>
        <w:t></w:t>
      </w:r>
      <w:r>
        <w:rPr>
          <w:rFonts w:ascii="Helvetica" w:eastAsia="Times New Roman" w:hAnsi="Helvetica" w:cs="Helvetica"/>
          <w:color w:val="26282A"/>
          <w:sz w:val="24"/>
          <w:szCs w:val="24"/>
        </w:rPr>
        <w:t>Textual/Electronic: “sexting” (electronically sending messages with sexual content, including pictures and video), th</w:t>
      </w:r>
      <w:r>
        <w:rPr>
          <w:rFonts w:ascii="Helvetica" w:eastAsia="Times New Roman" w:hAnsi="Helvetica" w:cs="Helvetica"/>
          <w:color w:val="26282A"/>
          <w:sz w:val="24"/>
          <w:szCs w:val="24"/>
        </w:rPr>
        <w:t xml:space="preserve">e use of sexually explicit language, harassment, cyber stalking and threats via all forms </w:t>
      </w:r>
      <w:r>
        <w:rPr>
          <w:rFonts w:ascii="Helvetica" w:eastAsia="Times New Roman" w:hAnsi="Helvetica" w:cs="Helvetica"/>
          <w:color w:val="26282A"/>
          <w:sz w:val="24"/>
          <w:szCs w:val="24"/>
        </w:rPr>
        <w:lastRenderedPageBreak/>
        <w:t>of electronic communication (e-mail, text/picture/video messages, intranet/on-line postings, blogs, instant messages and social network websites like Facebook and Twi</w:t>
      </w:r>
      <w:r>
        <w:rPr>
          <w:rFonts w:ascii="Helvetica" w:eastAsia="Times New Roman" w:hAnsi="Helvetica" w:cs="Helvetica"/>
          <w:color w:val="26282A"/>
          <w:sz w:val="24"/>
          <w:szCs w:val="24"/>
        </w:rPr>
        <w:t>tter).</w:t>
      </w:r>
    </w:p>
    <w:p w14:paraId="3E337A54"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The most severe and overt forms of sexual harassment are easier to determine. On the other end of the spectrum, some sexual harassment is more subtle and depends, to some extent, on individual perception and interpretation. The courts will assess se</w:t>
      </w:r>
      <w:r>
        <w:rPr>
          <w:rFonts w:ascii="Helvetica" w:eastAsia="Times New Roman" w:hAnsi="Helvetica" w:cs="Helvetica"/>
          <w:color w:val="26282A"/>
          <w:sz w:val="24"/>
          <w:szCs w:val="24"/>
        </w:rPr>
        <w:t>xual harassment by a standard of what would offend a “reasonable person.”</w:t>
      </w:r>
    </w:p>
    <w:p w14:paraId="57E8B40B"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i/>
          <w:iCs/>
          <w:color w:val="26282A"/>
          <w:sz w:val="24"/>
          <w:szCs w:val="24"/>
        </w:rPr>
        <w:t>III.</w:t>
      </w:r>
      <w:r>
        <w:rPr>
          <w:rFonts w:ascii="Helvetica" w:eastAsia="Times New Roman" w:hAnsi="Helvetica" w:cs="Helvetica"/>
          <w:color w:val="26282A"/>
          <w:sz w:val="14"/>
          <w:szCs w:val="14"/>
        </w:rPr>
        <w:t>                </w:t>
      </w:r>
      <w:r>
        <w:rPr>
          <w:rFonts w:ascii="Helvetica" w:eastAsia="Times New Roman" w:hAnsi="Helvetica" w:cs="Helvetica"/>
          <w:i/>
          <w:iCs/>
          <w:color w:val="26282A"/>
          <w:sz w:val="24"/>
          <w:szCs w:val="24"/>
        </w:rPr>
        <w:t>PROCEDURE FOR REPORTING AN ALLEGATION OF SEXUAL HARASSMENT</w:t>
      </w:r>
    </w:p>
    <w:p w14:paraId="154FE76F"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An employee who either observes sexual harassment or believes herself/himself to be the object of sexua</w:t>
      </w:r>
      <w:r>
        <w:rPr>
          <w:rFonts w:ascii="Helvetica" w:eastAsia="Times New Roman" w:hAnsi="Helvetica" w:cs="Helvetica"/>
          <w:color w:val="26282A"/>
          <w:sz w:val="24"/>
          <w:szCs w:val="24"/>
        </w:rPr>
        <w:t>l harassment should deal with the incident(s) as directly and firmly as possible by clearly communicating her/his position to the offending person, and her/his immediate supervisor. It is not necessary for sexual harassment to be directed at the person mak</w:t>
      </w:r>
      <w:r>
        <w:rPr>
          <w:rFonts w:ascii="Helvetica" w:eastAsia="Times New Roman" w:hAnsi="Helvetica" w:cs="Helvetica"/>
          <w:color w:val="26282A"/>
          <w:sz w:val="24"/>
          <w:szCs w:val="24"/>
        </w:rPr>
        <w:t>ing the report.</w:t>
      </w:r>
    </w:p>
    <w:p w14:paraId="356E5435"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Any employee may report conduct which is believed to be sexual harassment, including the following:</w:t>
      </w:r>
    </w:p>
    <w:p w14:paraId="64A148A6"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Symbol" w:eastAsia="Times New Roman" w:hAnsi="Symbol" w:cs="Helvetica"/>
          <w:color w:val="26282A"/>
          <w:sz w:val="24"/>
          <w:szCs w:val="24"/>
        </w:rPr>
        <w:t></w:t>
      </w:r>
      <w:r>
        <w:rPr>
          <w:rFonts w:ascii="Helvetica" w:eastAsia="Times New Roman" w:hAnsi="Helvetica" w:cs="Helvetica"/>
          <w:i/>
          <w:iCs/>
          <w:color w:val="26282A"/>
          <w:sz w:val="24"/>
          <w:szCs w:val="24"/>
        </w:rPr>
        <w:t>Electronic/Direct Communication</w:t>
      </w:r>
      <w:r>
        <w:rPr>
          <w:rFonts w:ascii="Helvetica" w:eastAsia="Times New Roman" w:hAnsi="Helvetica" w:cs="Helvetica"/>
          <w:color w:val="26282A"/>
          <w:sz w:val="24"/>
          <w:szCs w:val="24"/>
        </w:rPr>
        <w:t>. If there is sexual harassing behavior in the workplace, the harassed person should directly and clearly ex</w:t>
      </w:r>
      <w:r>
        <w:rPr>
          <w:rFonts w:ascii="Helvetica" w:eastAsia="Times New Roman" w:hAnsi="Helvetica" w:cs="Helvetica"/>
          <w:color w:val="26282A"/>
          <w:sz w:val="24"/>
          <w:szCs w:val="24"/>
        </w:rPr>
        <w:t>press her/his objection that the conduct is unwelcome and request that the offending behavior stop. The initial message may be verbal. If subsequent messages are needed, they should be put in writing in a note or a memo. </w:t>
      </w:r>
    </w:p>
    <w:p w14:paraId="1A6CE884"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Symbol" w:eastAsia="Times New Roman" w:hAnsi="Symbol" w:cs="Helvetica"/>
          <w:color w:val="26282A"/>
          <w:sz w:val="24"/>
          <w:szCs w:val="24"/>
        </w:rPr>
        <w:t></w:t>
      </w:r>
      <w:r>
        <w:rPr>
          <w:rFonts w:ascii="Helvetica" w:eastAsia="Times New Roman" w:hAnsi="Helvetica" w:cs="Helvetica"/>
          <w:i/>
          <w:iCs/>
          <w:color w:val="26282A"/>
          <w:sz w:val="24"/>
          <w:szCs w:val="24"/>
        </w:rPr>
        <w:t>Contact with Supervisory Personne</w:t>
      </w:r>
      <w:r>
        <w:rPr>
          <w:rFonts w:ascii="Helvetica" w:eastAsia="Times New Roman" w:hAnsi="Helvetica" w:cs="Helvetica"/>
          <w:i/>
          <w:iCs/>
          <w:color w:val="26282A"/>
          <w:sz w:val="24"/>
          <w:szCs w:val="24"/>
        </w:rPr>
        <w:t>l</w:t>
      </w:r>
      <w:r>
        <w:rPr>
          <w:rFonts w:ascii="Helvetica" w:eastAsia="Times New Roman" w:hAnsi="Helvetica" w:cs="Helvetica"/>
          <w:color w:val="26282A"/>
          <w:sz w:val="24"/>
          <w:szCs w:val="24"/>
        </w:rPr>
        <w:t>. At the same time direct communication is undertaken, or in the event the person feels threatened or intimidated by the situation, the problem must be promptly reported to the immediate supervisor of the person making the report or a board member.</w:t>
      </w:r>
    </w:p>
    <w:p w14:paraId="5F20CC1E"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 xml:space="preserve">If </w:t>
      </w:r>
      <w:r>
        <w:rPr>
          <w:rFonts w:ascii="Helvetica" w:eastAsia="Times New Roman" w:hAnsi="Helvetica" w:cs="Helvetica"/>
          <w:color w:val="26282A"/>
          <w:sz w:val="24"/>
          <w:szCs w:val="24"/>
        </w:rPr>
        <w:t xml:space="preserve">an employee experiences what he or she believes to be sexual harassment they must not assume that the employer is aware of the conduct. If there are no witnesses and the victim </w:t>
      </w:r>
      <w:proofErr w:type="gramStart"/>
      <w:r>
        <w:rPr>
          <w:rFonts w:ascii="Helvetica" w:eastAsia="Times New Roman" w:hAnsi="Helvetica" w:cs="Helvetica"/>
          <w:color w:val="26282A"/>
          <w:sz w:val="24"/>
          <w:szCs w:val="24"/>
        </w:rPr>
        <w:t>fails</w:t>
      </w:r>
      <w:proofErr w:type="gramEnd"/>
      <w:r>
        <w:rPr>
          <w:rFonts w:ascii="Helvetica" w:eastAsia="Times New Roman" w:hAnsi="Helvetica" w:cs="Helvetica"/>
          <w:color w:val="26282A"/>
          <w:sz w:val="24"/>
          <w:szCs w:val="24"/>
        </w:rPr>
        <w:t xml:space="preserve"> to notify a supervisor or other responsible officer, the library will not</w:t>
      </w:r>
      <w:r>
        <w:rPr>
          <w:rFonts w:ascii="Helvetica" w:eastAsia="Times New Roman" w:hAnsi="Helvetica" w:cs="Helvetica"/>
          <w:color w:val="26282A"/>
          <w:sz w:val="24"/>
          <w:szCs w:val="24"/>
        </w:rPr>
        <w:t xml:space="preserve"> be presumed to have knowledge of the harassment. </w:t>
      </w:r>
    </w:p>
    <w:p w14:paraId="084395A2"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Symbol" w:eastAsia="Times New Roman" w:hAnsi="Symbol" w:cs="Helvetica"/>
          <w:color w:val="26282A"/>
          <w:sz w:val="24"/>
          <w:szCs w:val="24"/>
        </w:rPr>
        <w:t></w:t>
      </w:r>
      <w:r>
        <w:rPr>
          <w:rFonts w:ascii="Helvetica" w:eastAsia="Times New Roman" w:hAnsi="Helvetica" w:cs="Helvetica"/>
          <w:i/>
          <w:iCs/>
          <w:color w:val="26282A"/>
          <w:sz w:val="24"/>
          <w:szCs w:val="24"/>
        </w:rPr>
        <w:t>Resolution Outside Municipality</w:t>
      </w:r>
      <w:r>
        <w:rPr>
          <w:rFonts w:ascii="Helvetica" w:eastAsia="Times New Roman" w:hAnsi="Helvetica" w:cs="Helvetica"/>
          <w:color w:val="26282A"/>
          <w:sz w:val="24"/>
          <w:szCs w:val="24"/>
        </w:rPr>
        <w:t>. The purpose of this policy is to establish prompt, thorough and effective procedures for responding to every report and incident so that problems can be identified and rem</w:t>
      </w:r>
      <w:r>
        <w:rPr>
          <w:rFonts w:ascii="Helvetica" w:eastAsia="Times New Roman" w:hAnsi="Helvetica" w:cs="Helvetica"/>
          <w:color w:val="26282A"/>
          <w:sz w:val="24"/>
          <w:szCs w:val="24"/>
        </w:rPr>
        <w:t>edied immediately. However, all persons have the right to contact the Illinois Department of Human Rights (IDHR) or the Equal Employment Opportunity Commission (EEOC) for information regarding filing a formal complaint with those entities. An IDHR complain</w:t>
      </w:r>
      <w:r>
        <w:rPr>
          <w:rFonts w:ascii="Helvetica" w:eastAsia="Times New Roman" w:hAnsi="Helvetica" w:cs="Helvetica"/>
          <w:color w:val="26282A"/>
          <w:sz w:val="24"/>
          <w:szCs w:val="24"/>
        </w:rPr>
        <w:t>t must be filed within 180 days of the alleged incident(s) unless it is a continuing offense. A complaint with the EEOC must be filed within 300 days.</w:t>
      </w:r>
    </w:p>
    <w:p w14:paraId="23D02F8F"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Documentation of any incident may be submitted with any report (what was said or done, the date, the time</w:t>
      </w:r>
      <w:r>
        <w:rPr>
          <w:rFonts w:ascii="Helvetica" w:eastAsia="Times New Roman" w:hAnsi="Helvetica" w:cs="Helvetica"/>
          <w:color w:val="26282A"/>
          <w:sz w:val="24"/>
          <w:szCs w:val="24"/>
        </w:rPr>
        <w:t xml:space="preserve"> and the place), including, but not limited to, written records such as letters, notes, memos and telephone messages.</w:t>
      </w:r>
    </w:p>
    <w:p w14:paraId="04BD5446"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All allegations, including anonymous reports, will be accepted and investigated regardless of how the matter comes to our attention. Howev</w:t>
      </w:r>
      <w:r>
        <w:rPr>
          <w:rFonts w:ascii="Helvetica" w:eastAsia="Times New Roman" w:hAnsi="Helvetica" w:cs="Helvetica"/>
          <w:color w:val="26282A"/>
          <w:sz w:val="24"/>
          <w:szCs w:val="24"/>
        </w:rPr>
        <w:t xml:space="preserve">er, because of the serious implications of sexual harassment charges and the difficulties associated with their investigation and the questions of credibility involved, the claimant’s willing cooperation is a vital component of an effective inquiry and an </w:t>
      </w:r>
      <w:r>
        <w:rPr>
          <w:rFonts w:ascii="Helvetica" w:eastAsia="Times New Roman" w:hAnsi="Helvetica" w:cs="Helvetica"/>
          <w:color w:val="26282A"/>
          <w:sz w:val="24"/>
          <w:szCs w:val="24"/>
        </w:rPr>
        <w:t>appropriate outcome. </w:t>
      </w:r>
    </w:p>
    <w:p w14:paraId="6E56B44E"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i/>
          <w:iCs/>
          <w:color w:val="26282A"/>
          <w:sz w:val="24"/>
          <w:szCs w:val="24"/>
        </w:rPr>
        <w:t>IV.</w:t>
      </w:r>
      <w:r>
        <w:rPr>
          <w:rFonts w:ascii="Helvetica" w:eastAsia="Times New Roman" w:hAnsi="Helvetica" w:cs="Helvetica"/>
          <w:color w:val="26282A"/>
          <w:sz w:val="14"/>
          <w:szCs w:val="14"/>
        </w:rPr>
        <w:t>                </w:t>
      </w:r>
      <w:r>
        <w:rPr>
          <w:rFonts w:ascii="Helvetica" w:eastAsia="Times New Roman" w:hAnsi="Helvetica" w:cs="Helvetica"/>
          <w:i/>
          <w:iCs/>
          <w:color w:val="26282A"/>
          <w:sz w:val="24"/>
          <w:szCs w:val="24"/>
        </w:rPr>
        <w:t>PROHIBITION ON RETALIATION FOR REPORTING SEXUAL HARASSMENT ALLEGATIONS</w:t>
      </w:r>
    </w:p>
    <w:p w14:paraId="0F4FFAFE"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lastRenderedPageBreak/>
        <w:t>No library employee or board member shall take any retaliatory action against any employee due to an employee’s:</w:t>
      </w:r>
    </w:p>
    <w:p w14:paraId="0A5C900F"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1.</w:t>
      </w:r>
      <w:r>
        <w:rPr>
          <w:rFonts w:ascii="Helvetica" w:eastAsia="Times New Roman" w:hAnsi="Helvetica" w:cs="Helvetica"/>
          <w:color w:val="26282A"/>
          <w:sz w:val="14"/>
          <w:szCs w:val="14"/>
        </w:rPr>
        <w:t>       </w:t>
      </w:r>
      <w:r>
        <w:rPr>
          <w:rFonts w:ascii="Helvetica" w:eastAsia="Times New Roman" w:hAnsi="Helvetica" w:cs="Helvetica"/>
          <w:color w:val="26282A"/>
          <w:sz w:val="24"/>
          <w:szCs w:val="24"/>
        </w:rPr>
        <w:t>Disclosure or threaten</w:t>
      </w:r>
      <w:r>
        <w:rPr>
          <w:rFonts w:ascii="Helvetica" w:eastAsia="Times New Roman" w:hAnsi="Helvetica" w:cs="Helvetica"/>
          <w:color w:val="26282A"/>
          <w:sz w:val="24"/>
          <w:szCs w:val="24"/>
        </w:rPr>
        <w:t>ed disclosure of any violation of this policy,</w:t>
      </w:r>
    </w:p>
    <w:p w14:paraId="1C0F4241"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2.</w:t>
      </w:r>
      <w:r>
        <w:rPr>
          <w:rFonts w:ascii="Helvetica" w:eastAsia="Times New Roman" w:hAnsi="Helvetica" w:cs="Helvetica"/>
          <w:color w:val="26282A"/>
          <w:sz w:val="14"/>
          <w:szCs w:val="14"/>
        </w:rPr>
        <w:t>       </w:t>
      </w:r>
      <w:r>
        <w:rPr>
          <w:rFonts w:ascii="Helvetica" w:eastAsia="Times New Roman" w:hAnsi="Helvetica" w:cs="Helvetica"/>
          <w:color w:val="26282A"/>
          <w:sz w:val="24"/>
          <w:szCs w:val="24"/>
        </w:rPr>
        <w:t xml:space="preserve">The provision of information related to or testimony before any public body </w:t>
      </w:r>
      <w:proofErr w:type="gramStart"/>
      <w:r>
        <w:rPr>
          <w:rFonts w:ascii="Helvetica" w:eastAsia="Times New Roman" w:hAnsi="Helvetica" w:cs="Helvetica"/>
          <w:color w:val="26282A"/>
          <w:sz w:val="24"/>
          <w:szCs w:val="24"/>
        </w:rPr>
        <w:t>conducting an investigation</w:t>
      </w:r>
      <w:proofErr w:type="gramEnd"/>
      <w:r>
        <w:rPr>
          <w:rFonts w:ascii="Helvetica" w:eastAsia="Times New Roman" w:hAnsi="Helvetica" w:cs="Helvetica"/>
          <w:color w:val="26282A"/>
          <w:sz w:val="24"/>
          <w:szCs w:val="24"/>
        </w:rPr>
        <w:t>, hearing or inquiry into any violation of this policy, or</w:t>
      </w:r>
    </w:p>
    <w:p w14:paraId="106D70F0"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3.</w:t>
      </w:r>
      <w:r>
        <w:rPr>
          <w:rFonts w:ascii="Helvetica" w:eastAsia="Times New Roman" w:hAnsi="Helvetica" w:cs="Helvetica"/>
          <w:color w:val="26282A"/>
          <w:sz w:val="14"/>
          <w:szCs w:val="14"/>
        </w:rPr>
        <w:t>       </w:t>
      </w:r>
      <w:r>
        <w:rPr>
          <w:rFonts w:ascii="Helvetica" w:eastAsia="Times New Roman" w:hAnsi="Helvetica" w:cs="Helvetica"/>
          <w:color w:val="26282A"/>
          <w:sz w:val="24"/>
          <w:szCs w:val="24"/>
        </w:rPr>
        <w:t>Assistance or participation i</w:t>
      </w:r>
      <w:r>
        <w:rPr>
          <w:rFonts w:ascii="Helvetica" w:eastAsia="Times New Roman" w:hAnsi="Helvetica" w:cs="Helvetica"/>
          <w:color w:val="26282A"/>
          <w:sz w:val="24"/>
          <w:szCs w:val="24"/>
        </w:rPr>
        <w:t>n a proceeding to enforce the provisions of this policy.</w:t>
      </w:r>
    </w:p>
    <w:p w14:paraId="519258F0"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For the purposes of this policy, retaliatory action means the reprimand, discharge, suspension, demotion, denial of promotion or transfer, or change in the terms or conditions of employment of any mu</w:t>
      </w:r>
      <w:r>
        <w:rPr>
          <w:rFonts w:ascii="Helvetica" w:eastAsia="Times New Roman" w:hAnsi="Helvetica" w:cs="Helvetica"/>
          <w:color w:val="26282A"/>
          <w:sz w:val="24"/>
          <w:szCs w:val="24"/>
        </w:rPr>
        <w:t>nicipal employee that is taken in retaliation for a library employee’s involvement in protected activity pursuant to this policy.</w:t>
      </w:r>
    </w:p>
    <w:p w14:paraId="766AE067"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No individual making a report will be retaliated against even if a report made in good faith is not substantiated. In addition</w:t>
      </w:r>
      <w:r>
        <w:rPr>
          <w:rFonts w:ascii="Helvetica" w:eastAsia="Times New Roman" w:hAnsi="Helvetica" w:cs="Helvetica"/>
          <w:color w:val="26282A"/>
          <w:sz w:val="24"/>
          <w:szCs w:val="24"/>
        </w:rPr>
        <w:t>, any witness will be protected from retaliation.</w:t>
      </w:r>
    </w:p>
    <w:p w14:paraId="7D2FBADD"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 xml:space="preserve">Similar to the prohibition against retaliation contained herein, the State Officials and Employees Ethics Act (5 ILCS 430/15-10) provides whistleblower protection from retaliatory action such as reprimand, </w:t>
      </w:r>
      <w:r>
        <w:rPr>
          <w:rFonts w:ascii="Helvetica" w:eastAsia="Times New Roman" w:hAnsi="Helvetica" w:cs="Helvetica"/>
          <w:color w:val="26282A"/>
          <w:sz w:val="24"/>
          <w:szCs w:val="24"/>
        </w:rPr>
        <w:t>discharge, suspension, demotion, or denial of promotion or transfer that occurs in retaliation for an employee who does any of the following:</w:t>
      </w:r>
    </w:p>
    <w:p w14:paraId="2B209C69"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1.</w:t>
      </w:r>
      <w:r>
        <w:rPr>
          <w:rFonts w:ascii="Helvetica" w:eastAsia="Times New Roman" w:hAnsi="Helvetica" w:cs="Helvetica"/>
          <w:color w:val="26282A"/>
          <w:sz w:val="14"/>
          <w:szCs w:val="14"/>
        </w:rPr>
        <w:t>       </w:t>
      </w:r>
      <w:r>
        <w:rPr>
          <w:rFonts w:ascii="Helvetica" w:eastAsia="Times New Roman" w:hAnsi="Helvetica" w:cs="Helvetica"/>
          <w:color w:val="26282A"/>
          <w:sz w:val="24"/>
          <w:szCs w:val="24"/>
        </w:rPr>
        <w:t xml:space="preserve">Discloses or threatens to disclose to a supervisor or to a public body an activity, policy, or </w:t>
      </w:r>
      <w:r>
        <w:rPr>
          <w:rFonts w:ascii="Helvetica" w:eastAsia="Times New Roman" w:hAnsi="Helvetica" w:cs="Helvetica"/>
          <w:color w:val="26282A"/>
          <w:sz w:val="24"/>
          <w:szCs w:val="24"/>
        </w:rPr>
        <w:t>practice of any officer, member, State agency, or other State employee that the State employee reasonably believes is in violation of a law, rule, or regulation,</w:t>
      </w:r>
    </w:p>
    <w:p w14:paraId="1D1D1FD2"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2.</w:t>
      </w:r>
      <w:r>
        <w:rPr>
          <w:rFonts w:ascii="Helvetica" w:eastAsia="Times New Roman" w:hAnsi="Helvetica" w:cs="Helvetica"/>
          <w:color w:val="26282A"/>
          <w:sz w:val="14"/>
          <w:szCs w:val="14"/>
        </w:rPr>
        <w:t>       </w:t>
      </w:r>
      <w:r>
        <w:rPr>
          <w:rFonts w:ascii="Helvetica" w:eastAsia="Times New Roman" w:hAnsi="Helvetica" w:cs="Helvetica"/>
          <w:color w:val="26282A"/>
          <w:sz w:val="24"/>
          <w:szCs w:val="24"/>
        </w:rPr>
        <w:t xml:space="preserve">Provides information to or testifies before any public body </w:t>
      </w:r>
      <w:proofErr w:type="gramStart"/>
      <w:r>
        <w:rPr>
          <w:rFonts w:ascii="Helvetica" w:eastAsia="Times New Roman" w:hAnsi="Helvetica" w:cs="Helvetica"/>
          <w:color w:val="26282A"/>
          <w:sz w:val="24"/>
          <w:szCs w:val="24"/>
        </w:rPr>
        <w:t>conducting an investigati</w:t>
      </w:r>
      <w:r>
        <w:rPr>
          <w:rFonts w:ascii="Helvetica" w:eastAsia="Times New Roman" w:hAnsi="Helvetica" w:cs="Helvetica"/>
          <w:color w:val="26282A"/>
          <w:sz w:val="24"/>
          <w:szCs w:val="24"/>
        </w:rPr>
        <w:t>on</w:t>
      </w:r>
      <w:proofErr w:type="gramEnd"/>
      <w:r>
        <w:rPr>
          <w:rFonts w:ascii="Helvetica" w:eastAsia="Times New Roman" w:hAnsi="Helvetica" w:cs="Helvetica"/>
          <w:color w:val="26282A"/>
          <w:sz w:val="24"/>
          <w:szCs w:val="24"/>
        </w:rPr>
        <w:t>, hearing, or inquiry into any violation of a law, rule, or regulation by any officer, member, State agency or other State employee, or</w:t>
      </w:r>
    </w:p>
    <w:p w14:paraId="015A6D32"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3.</w:t>
      </w:r>
      <w:r>
        <w:rPr>
          <w:rFonts w:ascii="Helvetica" w:eastAsia="Times New Roman" w:hAnsi="Helvetica" w:cs="Helvetica"/>
          <w:color w:val="26282A"/>
          <w:sz w:val="14"/>
          <w:szCs w:val="14"/>
        </w:rPr>
        <w:t>       </w:t>
      </w:r>
      <w:r>
        <w:rPr>
          <w:rFonts w:ascii="Helvetica" w:eastAsia="Times New Roman" w:hAnsi="Helvetica" w:cs="Helvetica"/>
          <w:color w:val="26282A"/>
          <w:sz w:val="24"/>
          <w:szCs w:val="24"/>
        </w:rPr>
        <w:t>Assists or participates in a proceeding to enforce the provisions of the State Officials and Employees Ethics</w:t>
      </w:r>
      <w:r>
        <w:rPr>
          <w:rFonts w:ascii="Helvetica" w:eastAsia="Times New Roman" w:hAnsi="Helvetica" w:cs="Helvetica"/>
          <w:color w:val="26282A"/>
          <w:sz w:val="24"/>
          <w:szCs w:val="24"/>
        </w:rPr>
        <w:t xml:space="preserve"> Act.</w:t>
      </w:r>
    </w:p>
    <w:p w14:paraId="051BC998"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Pursuant to the Whistleblower Act (740 ILCS 174/15(a)), an employer may not retaliate against an employee who discloses information in a court, an administrative hearing, or before a legislative commission or committee, or in any other proceeding, wh</w:t>
      </w:r>
      <w:r>
        <w:rPr>
          <w:rFonts w:ascii="Helvetica" w:eastAsia="Times New Roman" w:hAnsi="Helvetica" w:cs="Helvetica"/>
          <w:color w:val="26282A"/>
          <w:sz w:val="24"/>
          <w:szCs w:val="24"/>
        </w:rPr>
        <w:t>ere the employee has reasonable cause to believe that the information discloses a violation of a State or federal law, rule, or regulation. In addition, an employer may not retaliate against an employee for disclosing information to a government or law enf</w:t>
      </w:r>
      <w:r>
        <w:rPr>
          <w:rFonts w:ascii="Helvetica" w:eastAsia="Times New Roman" w:hAnsi="Helvetica" w:cs="Helvetica"/>
          <w:color w:val="26282A"/>
          <w:sz w:val="24"/>
          <w:szCs w:val="24"/>
        </w:rPr>
        <w:t>orcement agency, where the employee has reasonable cause to believe that the information discloses a violation of a State or federal law, rule, or regulation. (740 ILCS 174/15(b)).</w:t>
      </w:r>
    </w:p>
    <w:p w14:paraId="16118911"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According to the Illinois Human Rights Act (775 ILCS 5/6-101), it is a civi</w:t>
      </w:r>
      <w:r>
        <w:rPr>
          <w:rFonts w:ascii="Helvetica" w:eastAsia="Times New Roman" w:hAnsi="Helvetica" w:cs="Helvetica"/>
          <w:color w:val="26282A"/>
          <w:sz w:val="24"/>
          <w:szCs w:val="24"/>
        </w:rPr>
        <w:t>l rights violation for a person, or for two or more people to conspire, to retaliate against a person because he/she has opposed that which he/she reasonably and in good faith believes to be sexual harassment in employment, because he/she has made a charge</w:t>
      </w:r>
      <w:r>
        <w:rPr>
          <w:rFonts w:ascii="Helvetica" w:eastAsia="Times New Roman" w:hAnsi="Helvetica" w:cs="Helvetica"/>
          <w:color w:val="26282A"/>
          <w:sz w:val="24"/>
          <w:szCs w:val="24"/>
        </w:rPr>
        <w:t>, filed a complaint, testified, assisted, or participated in an investigation, proceeding, or hearing under the Illinois Human Rights Act.</w:t>
      </w:r>
    </w:p>
    <w:p w14:paraId="39C3FCAB"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lastRenderedPageBreak/>
        <w:t>An employee who is suddenly transferred to a lower paying job or passed over for a promotion after filing a complaint</w:t>
      </w:r>
      <w:r>
        <w:rPr>
          <w:rFonts w:ascii="Helvetica" w:eastAsia="Times New Roman" w:hAnsi="Helvetica" w:cs="Helvetica"/>
          <w:color w:val="26282A"/>
          <w:sz w:val="24"/>
          <w:szCs w:val="24"/>
        </w:rPr>
        <w:t xml:space="preserve"> with IDHR or EEOC, may file a retaliation charge – due within 180 days (IDHR) or 300 days (EEOC) of the alleged retaliation. </w:t>
      </w:r>
    </w:p>
    <w:p w14:paraId="2EC0FC21"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i/>
          <w:iCs/>
          <w:color w:val="26282A"/>
          <w:sz w:val="24"/>
          <w:szCs w:val="24"/>
        </w:rPr>
        <w:t>V.</w:t>
      </w:r>
      <w:r>
        <w:rPr>
          <w:rFonts w:ascii="Helvetica" w:eastAsia="Times New Roman" w:hAnsi="Helvetica" w:cs="Helvetica"/>
          <w:color w:val="26282A"/>
          <w:sz w:val="14"/>
          <w:szCs w:val="14"/>
        </w:rPr>
        <w:t>                  </w:t>
      </w:r>
      <w:r>
        <w:rPr>
          <w:rFonts w:ascii="Helvetica" w:eastAsia="Times New Roman" w:hAnsi="Helvetica" w:cs="Helvetica"/>
          <w:i/>
          <w:iCs/>
          <w:color w:val="26282A"/>
          <w:sz w:val="24"/>
          <w:szCs w:val="24"/>
        </w:rPr>
        <w:t>CONSEQUENCES OF A VIOLATION OF THE PROHIBITION ON SEXUAL HARASSMENT</w:t>
      </w:r>
    </w:p>
    <w:p w14:paraId="3C953908"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In addition to any and all other discipli</w:t>
      </w:r>
      <w:r>
        <w:rPr>
          <w:rFonts w:ascii="Helvetica" w:eastAsia="Times New Roman" w:hAnsi="Helvetica" w:cs="Helvetica"/>
          <w:color w:val="26282A"/>
          <w:sz w:val="24"/>
          <w:szCs w:val="24"/>
        </w:rPr>
        <w:t>ne that may be applicable pursuant to municipal policies, employment agreements, procedures, employee handbooks and/or collective bargaining agreement, any person who violates this policy or the Prohibition on Sexual Harassment contained in 5 ILCS 430/5-65</w:t>
      </w:r>
      <w:r>
        <w:rPr>
          <w:rFonts w:ascii="Helvetica" w:eastAsia="Times New Roman" w:hAnsi="Helvetica" w:cs="Helvetica"/>
          <w:color w:val="26282A"/>
          <w:sz w:val="24"/>
          <w:szCs w:val="24"/>
        </w:rPr>
        <w:t>, may be subject to a fine of up to $5,000 per offense, applicable discipline or discharge by the municipality and any applicable fines and penalties established pursuant to local ordinance, State law or Federal law. Each violation may constitute a separat</w:t>
      </w:r>
      <w:r>
        <w:rPr>
          <w:rFonts w:ascii="Helvetica" w:eastAsia="Times New Roman" w:hAnsi="Helvetica" w:cs="Helvetica"/>
          <w:color w:val="26282A"/>
          <w:sz w:val="24"/>
          <w:szCs w:val="24"/>
        </w:rPr>
        <w:t>e offense. Any discipline imposed by the municipality shall be separate and distinct from any penalty imposed by an ethics commission and any fines or penalties imposed by a court of law or a State or Federal agency. </w:t>
      </w:r>
    </w:p>
    <w:p w14:paraId="43B9C6D7"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i/>
          <w:iCs/>
          <w:color w:val="26282A"/>
          <w:sz w:val="24"/>
          <w:szCs w:val="24"/>
        </w:rPr>
        <w:t>VI.</w:t>
      </w:r>
      <w:r>
        <w:rPr>
          <w:rFonts w:ascii="Helvetica" w:eastAsia="Times New Roman" w:hAnsi="Helvetica" w:cs="Helvetica"/>
          <w:color w:val="26282A"/>
          <w:sz w:val="14"/>
          <w:szCs w:val="14"/>
        </w:rPr>
        <w:t>                </w:t>
      </w:r>
      <w:r>
        <w:rPr>
          <w:rFonts w:ascii="Helvetica" w:eastAsia="Times New Roman" w:hAnsi="Helvetica" w:cs="Helvetica"/>
          <w:i/>
          <w:iCs/>
          <w:color w:val="26282A"/>
          <w:sz w:val="24"/>
          <w:szCs w:val="24"/>
        </w:rPr>
        <w:t>CONSEQUENCES FOR KN</w:t>
      </w:r>
      <w:r>
        <w:rPr>
          <w:rFonts w:ascii="Helvetica" w:eastAsia="Times New Roman" w:hAnsi="Helvetica" w:cs="Helvetica"/>
          <w:i/>
          <w:iCs/>
          <w:color w:val="26282A"/>
          <w:sz w:val="24"/>
          <w:szCs w:val="24"/>
        </w:rPr>
        <w:t>OWINGLY MAKING A FALSE REPORT</w:t>
      </w:r>
    </w:p>
    <w:p w14:paraId="490E0544" w14:textId="77777777"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 xml:space="preserve">A false report is a report of sexual harassment made by an accuser using the sexual harassment report to accomplish some end other than stopping sexual harassment or retaliation for reporting sexual harassment. A false report </w:t>
      </w:r>
      <w:r>
        <w:rPr>
          <w:rFonts w:ascii="Helvetica" w:eastAsia="Times New Roman" w:hAnsi="Helvetica" w:cs="Helvetica"/>
          <w:color w:val="26282A"/>
          <w:sz w:val="24"/>
          <w:szCs w:val="24"/>
        </w:rPr>
        <w:t xml:space="preserve">is not a report made in good faith which cannot be proven. Given the seriousness of the consequences for the accused, a false or frivolous report is a severe offense that can itself result in disciplinary action. Any person who intentionally makes a false </w:t>
      </w:r>
      <w:r>
        <w:rPr>
          <w:rFonts w:ascii="Helvetica" w:eastAsia="Times New Roman" w:hAnsi="Helvetica" w:cs="Helvetica"/>
          <w:color w:val="26282A"/>
          <w:sz w:val="24"/>
          <w:szCs w:val="24"/>
        </w:rPr>
        <w:t>report alleging a violation of any provision of this policy shall be subject to discipline or discharge pursuant to applicable municipal policies, employment agreements, procedures, employee handbooks and/or collective bargaining agreements.</w:t>
      </w:r>
    </w:p>
    <w:p w14:paraId="4CDD8A1E" w14:textId="699494B0" w:rsidR="005E50F8" w:rsidRDefault="00781951">
      <w:pP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In addition, a</w:t>
      </w:r>
      <w:r>
        <w:rPr>
          <w:rFonts w:ascii="Helvetica" w:eastAsia="Times New Roman" w:hAnsi="Helvetica" w:cs="Helvetica"/>
          <w:color w:val="26282A"/>
          <w:sz w:val="24"/>
          <w:szCs w:val="24"/>
        </w:rPr>
        <w:t>ny person who intentionally makes a false report alleging a violation of any provision of the State Officials and Employees Ethics Act to an ethics commission, an inspector general, the State Police, a State’s Attorney, the Attorney General, or any other l</w:t>
      </w:r>
      <w:r>
        <w:rPr>
          <w:rFonts w:ascii="Helvetica" w:eastAsia="Times New Roman" w:hAnsi="Helvetica" w:cs="Helvetica"/>
          <w:color w:val="26282A"/>
          <w:sz w:val="24"/>
          <w:szCs w:val="24"/>
        </w:rPr>
        <w:t>aw enforcement official is guilty of a Class A misdemeanor. An ethics commission may levy an administrative fine of up to $5,000 against any person who intentionally makes a false, frivolous or bad faith allegation.</w:t>
      </w:r>
    </w:p>
    <w:p w14:paraId="2F2D3D32" w14:textId="77777777" w:rsidR="00781951" w:rsidRDefault="00781951" w:rsidP="00781951">
      <w:pPr>
        <w:pBdr>
          <w:bottom w:val="single" w:sz="12" w:space="1" w:color="auto"/>
        </w:pBd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 xml:space="preserve">Reviewed and </w:t>
      </w:r>
      <w:r>
        <w:rPr>
          <w:rFonts w:ascii="Helvetica" w:eastAsia="Times New Roman" w:hAnsi="Helvetica" w:cs="Helvetica"/>
          <w:color w:val="26282A"/>
          <w:sz w:val="24"/>
          <w:szCs w:val="24"/>
        </w:rPr>
        <w:t>Approved July</w:t>
      </w:r>
      <w:r>
        <w:rPr>
          <w:rFonts w:ascii="Helvetica" w:eastAsia="Times New Roman" w:hAnsi="Helvetica" w:cs="Helvetica"/>
          <w:color w:val="26282A"/>
          <w:sz w:val="24"/>
          <w:szCs w:val="24"/>
        </w:rPr>
        <w:t xml:space="preserve"> 15, 2019</w:t>
      </w:r>
    </w:p>
    <w:p w14:paraId="290DF6F9" w14:textId="6AC99F2D" w:rsidR="00781951" w:rsidRDefault="00781951" w:rsidP="00781951">
      <w:pPr>
        <w:pBdr>
          <w:bottom w:val="single" w:sz="12" w:space="1" w:color="auto"/>
        </w:pBdr>
        <w:shd w:val="clear" w:color="auto" w:fill="FFFFFF"/>
        <w:spacing w:before="100" w:beforeAutospacing="1" w:after="100" w:afterAutospacing="1" w:line="240" w:lineRule="auto"/>
        <w:rPr>
          <w:rFonts w:ascii="Helvetica" w:eastAsia="Times New Roman" w:hAnsi="Helvetica" w:cs="Helvetica"/>
          <w:color w:val="26282A"/>
          <w:sz w:val="24"/>
          <w:szCs w:val="24"/>
        </w:rPr>
      </w:pPr>
      <w:bookmarkStart w:id="1" w:name="_edn1"/>
      <w:r>
        <w:rPr>
          <w:rFonts w:ascii="Helvetica" w:eastAsia="Times New Roman" w:hAnsi="Helvetica" w:cs="Helvetica"/>
          <w:color w:val="26282A"/>
          <w:sz w:val="24"/>
          <w:szCs w:val="24"/>
        </w:rPr>
        <w:t>____________________</w:t>
      </w:r>
    </w:p>
    <w:p w14:paraId="53EC7B2E" w14:textId="11AE92B4" w:rsidR="00781951" w:rsidRDefault="00781951" w:rsidP="00781951">
      <w:pPr>
        <w:pBdr>
          <w:bottom w:val="single" w:sz="12" w:space="1" w:color="auto"/>
        </w:pBd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President</w:t>
      </w:r>
    </w:p>
    <w:p w14:paraId="64508054" w14:textId="0E753F36" w:rsidR="00781951" w:rsidRDefault="00781951" w:rsidP="00781951">
      <w:pPr>
        <w:pBdr>
          <w:bottom w:val="single" w:sz="12" w:space="1" w:color="auto"/>
        </w:pBd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____________________</w:t>
      </w:r>
      <w:bookmarkStart w:id="2" w:name="_GoBack"/>
      <w:bookmarkEnd w:id="2"/>
    </w:p>
    <w:p w14:paraId="2DEB89EB" w14:textId="6675639A" w:rsidR="00781951" w:rsidRDefault="00781951" w:rsidP="00781951">
      <w:pPr>
        <w:pBdr>
          <w:bottom w:val="single" w:sz="12" w:space="1" w:color="auto"/>
        </w:pBdr>
        <w:shd w:val="clear" w:color="auto" w:fill="FFFFFF"/>
        <w:spacing w:before="100" w:beforeAutospacing="1" w:after="100" w:afterAutospacing="1" w:line="240" w:lineRule="auto"/>
        <w:rPr>
          <w:rFonts w:ascii="Helvetica" w:eastAsia="Times New Roman" w:hAnsi="Helvetica" w:cs="Helvetica"/>
          <w:color w:val="26282A"/>
          <w:sz w:val="24"/>
          <w:szCs w:val="24"/>
        </w:rPr>
      </w:pPr>
      <w:r>
        <w:rPr>
          <w:rFonts w:ascii="Helvetica" w:eastAsia="Times New Roman" w:hAnsi="Helvetica" w:cs="Helvetica"/>
          <w:color w:val="26282A"/>
          <w:sz w:val="24"/>
          <w:szCs w:val="24"/>
        </w:rPr>
        <w:t>Secretary</w:t>
      </w:r>
    </w:p>
    <w:p w14:paraId="44202E67" w14:textId="2838E09F" w:rsidR="005E50F8" w:rsidRDefault="00781951" w:rsidP="00781951">
      <w:pPr>
        <w:pBdr>
          <w:bottom w:val="single" w:sz="12" w:space="1" w:color="auto"/>
        </w:pBdr>
        <w:shd w:val="clear" w:color="auto" w:fill="FFFFFF"/>
        <w:spacing w:before="100" w:beforeAutospacing="1" w:after="100" w:afterAutospacing="1" w:line="240" w:lineRule="auto"/>
        <w:rPr>
          <w:rFonts w:ascii="Helvetica" w:eastAsia="Times New Roman" w:hAnsi="Helvetica" w:cs="Helvetica"/>
          <w:color w:val="26282A"/>
          <w:sz w:val="24"/>
          <w:szCs w:val="24"/>
        </w:rPr>
      </w:pPr>
      <w:hyperlink r:id="rId5" w:anchor="_ednref1" w:history="1">
        <w:r>
          <w:rPr>
            <w:rFonts w:ascii="Helvetica" w:eastAsia="Times New Roman" w:hAnsi="Helvetica" w:cs="Helvetica"/>
            <w:color w:val="196AD4"/>
            <w:sz w:val="20"/>
            <w:szCs w:val="20"/>
            <w:u w:val="single"/>
          </w:rPr>
          <w:t>[</w:t>
        </w:r>
        <w:proofErr w:type="spellStart"/>
        <w:r>
          <w:rPr>
            <w:rFonts w:ascii="Helvetica" w:eastAsia="Times New Roman" w:hAnsi="Helvetica" w:cs="Helvetica"/>
            <w:color w:val="196AD4"/>
            <w:sz w:val="20"/>
            <w:szCs w:val="20"/>
            <w:u w:val="single"/>
          </w:rPr>
          <w:t>i</w:t>
        </w:r>
        <w:proofErr w:type="spellEnd"/>
        <w:r>
          <w:rPr>
            <w:rFonts w:ascii="Helvetica" w:eastAsia="Times New Roman" w:hAnsi="Helvetica" w:cs="Helvetica"/>
            <w:color w:val="196AD4"/>
            <w:sz w:val="20"/>
            <w:szCs w:val="20"/>
            <w:u w:val="single"/>
          </w:rPr>
          <w:t>]</w:t>
        </w:r>
      </w:hyperlink>
      <w:bookmarkEnd w:id="1"/>
      <w:r>
        <w:rPr>
          <w:rFonts w:ascii="Helvetica" w:eastAsia="Times New Roman" w:hAnsi="Helvetica" w:cs="Helvetica"/>
          <w:color w:val="26282A"/>
          <w:sz w:val="24"/>
          <w:szCs w:val="24"/>
        </w:rPr>
        <w:t> This policy was drafted using the Illinois Department of Human Rights Sexual Harassment Model Policy and has been modified to conform to Public Act 100-0554.</w:t>
      </w:r>
    </w:p>
    <w:sectPr w:rsidR="005E50F8" w:rsidSect="00781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AB"/>
    <w:rsid w:val="00002252"/>
    <w:rsid w:val="00011B68"/>
    <w:rsid w:val="000140F5"/>
    <w:rsid w:val="0002570C"/>
    <w:rsid w:val="0002670D"/>
    <w:rsid w:val="000316DA"/>
    <w:rsid w:val="00036B2C"/>
    <w:rsid w:val="00037888"/>
    <w:rsid w:val="00044F7C"/>
    <w:rsid w:val="000507C5"/>
    <w:rsid w:val="00053FD8"/>
    <w:rsid w:val="0005553F"/>
    <w:rsid w:val="00064656"/>
    <w:rsid w:val="000845BC"/>
    <w:rsid w:val="00086BC7"/>
    <w:rsid w:val="00091EA8"/>
    <w:rsid w:val="00095311"/>
    <w:rsid w:val="000A28DE"/>
    <w:rsid w:val="000A4393"/>
    <w:rsid w:val="000B38B4"/>
    <w:rsid w:val="000C29CA"/>
    <w:rsid w:val="000C2CA2"/>
    <w:rsid w:val="000E28D7"/>
    <w:rsid w:val="000E5510"/>
    <w:rsid w:val="000F273F"/>
    <w:rsid w:val="000F309B"/>
    <w:rsid w:val="00105F9C"/>
    <w:rsid w:val="00112F18"/>
    <w:rsid w:val="001133F9"/>
    <w:rsid w:val="001214A9"/>
    <w:rsid w:val="00122E0A"/>
    <w:rsid w:val="001238F7"/>
    <w:rsid w:val="00124B23"/>
    <w:rsid w:val="0012679F"/>
    <w:rsid w:val="00132C23"/>
    <w:rsid w:val="001472FF"/>
    <w:rsid w:val="00156310"/>
    <w:rsid w:val="00157593"/>
    <w:rsid w:val="00160499"/>
    <w:rsid w:val="001717AF"/>
    <w:rsid w:val="00172BC7"/>
    <w:rsid w:val="0017718D"/>
    <w:rsid w:val="00177DCF"/>
    <w:rsid w:val="001860BF"/>
    <w:rsid w:val="0019250C"/>
    <w:rsid w:val="001941A0"/>
    <w:rsid w:val="00196320"/>
    <w:rsid w:val="001A6049"/>
    <w:rsid w:val="001A6807"/>
    <w:rsid w:val="001B27AB"/>
    <w:rsid w:val="001B4746"/>
    <w:rsid w:val="001B4BD4"/>
    <w:rsid w:val="001C49E4"/>
    <w:rsid w:val="001E1922"/>
    <w:rsid w:val="001E6406"/>
    <w:rsid w:val="001F48F0"/>
    <w:rsid w:val="001F7569"/>
    <w:rsid w:val="002055CE"/>
    <w:rsid w:val="0021358F"/>
    <w:rsid w:val="002277B9"/>
    <w:rsid w:val="002577FA"/>
    <w:rsid w:val="002648F1"/>
    <w:rsid w:val="002673CF"/>
    <w:rsid w:val="002677C5"/>
    <w:rsid w:val="00271D73"/>
    <w:rsid w:val="002921A7"/>
    <w:rsid w:val="002B1674"/>
    <w:rsid w:val="002B72A4"/>
    <w:rsid w:val="002C0707"/>
    <w:rsid w:val="002E5843"/>
    <w:rsid w:val="00301F43"/>
    <w:rsid w:val="00303A92"/>
    <w:rsid w:val="00303C3A"/>
    <w:rsid w:val="00305AD9"/>
    <w:rsid w:val="003077EB"/>
    <w:rsid w:val="003115B9"/>
    <w:rsid w:val="00312065"/>
    <w:rsid w:val="00322922"/>
    <w:rsid w:val="00322EA5"/>
    <w:rsid w:val="0036028C"/>
    <w:rsid w:val="003614A5"/>
    <w:rsid w:val="0039048B"/>
    <w:rsid w:val="00393CF3"/>
    <w:rsid w:val="003A155D"/>
    <w:rsid w:val="003A16DB"/>
    <w:rsid w:val="003A56AC"/>
    <w:rsid w:val="003B07A2"/>
    <w:rsid w:val="003C2C96"/>
    <w:rsid w:val="004011BA"/>
    <w:rsid w:val="0041139B"/>
    <w:rsid w:val="004277C5"/>
    <w:rsid w:val="0044502D"/>
    <w:rsid w:val="00455469"/>
    <w:rsid w:val="00461799"/>
    <w:rsid w:val="00477F20"/>
    <w:rsid w:val="00485AF8"/>
    <w:rsid w:val="0048696A"/>
    <w:rsid w:val="004967E5"/>
    <w:rsid w:val="004B10BA"/>
    <w:rsid w:val="004B613D"/>
    <w:rsid w:val="004E35D1"/>
    <w:rsid w:val="004E3EA8"/>
    <w:rsid w:val="004F2D10"/>
    <w:rsid w:val="00502FE9"/>
    <w:rsid w:val="00506418"/>
    <w:rsid w:val="00507AB6"/>
    <w:rsid w:val="00524355"/>
    <w:rsid w:val="00532826"/>
    <w:rsid w:val="005A65F0"/>
    <w:rsid w:val="005B1929"/>
    <w:rsid w:val="005C0136"/>
    <w:rsid w:val="005C7BF9"/>
    <w:rsid w:val="005E04BD"/>
    <w:rsid w:val="005E1C5A"/>
    <w:rsid w:val="005E3781"/>
    <w:rsid w:val="005E4CA4"/>
    <w:rsid w:val="005E50F8"/>
    <w:rsid w:val="005F323F"/>
    <w:rsid w:val="00602E6D"/>
    <w:rsid w:val="0061040D"/>
    <w:rsid w:val="00625DA7"/>
    <w:rsid w:val="006470DC"/>
    <w:rsid w:val="00660374"/>
    <w:rsid w:val="006644B2"/>
    <w:rsid w:val="00675263"/>
    <w:rsid w:val="00686C11"/>
    <w:rsid w:val="006A2AE7"/>
    <w:rsid w:val="006A6BA8"/>
    <w:rsid w:val="006C22FA"/>
    <w:rsid w:val="006F7F01"/>
    <w:rsid w:val="00720AB4"/>
    <w:rsid w:val="00735161"/>
    <w:rsid w:val="00760F93"/>
    <w:rsid w:val="0076511D"/>
    <w:rsid w:val="00771536"/>
    <w:rsid w:val="00775C22"/>
    <w:rsid w:val="00781951"/>
    <w:rsid w:val="00782DD1"/>
    <w:rsid w:val="00783095"/>
    <w:rsid w:val="00787AAB"/>
    <w:rsid w:val="00793C39"/>
    <w:rsid w:val="007C10AA"/>
    <w:rsid w:val="007E607C"/>
    <w:rsid w:val="007F1FE4"/>
    <w:rsid w:val="007F4D39"/>
    <w:rsid w:val="00805867"/>
    <w:rsid w:val="0081078E"/>
    <w:rsid w:val="00816ED9"/>
    <w:rsid w:val="008267ED"/>
    <w:rsid w:val="00830450"/>
    <w:rsid w:val="0083288A"/>
    <w:rsid w:val="00845A95"/>
    <w:rsid w:val="00852799"/>
    <w:rsid w:val="008650E6"/>
    <w:rsid w:val="008771D4"/>
    <w:rsid w:val="00890D80"/>
    <w:rsid w:val="008A42AC"/>
    <w:rsid w:val="008A622A"/>
    <w:rsid w:val="008B0223"/>
    <w:rsid w:val="008B4F5E"/>
    <w:rsid w:val="008C6B1E"/>
    <w:rsid w:val="008D4302"/>
    <w:rsid w:val="008D719D"/>
    <w:rsid w:val="008E008D"/>
    <w:rsid w:val="008F03AC"/>
    <w:rsid w:val="008F386B"/>
    <w:rsid w:val="00903FAB"/>
    <w:rsid w:val="00921FCE"/>
    <w:rsid w:val="009244B9"/>
    <w:rsid w:val="00934035"/>
    <w:rsid w:val="0095288D"/>
    <w:rsid w:val="00983988"/>
    <w:rsid w:val="009A6B27"/>
    <w:rsid w:val="009B3D77"/>
    <w:rsid w:val="009C2919"/>
    <w:rsid w:val="009C686F"/>
    <w:rsid w:val="009E5536"/>
    <w:rsid w:val="009E6D55"/>
    <w:rsid w:val="009F5703"/>
    <w:rsid w:val="00A05F18"/>
    <w:rsid w:val="00A10CDF"/>
    <w:rsid w:val="00A24DC7"/>
    <w:rsid w:val="00A36938"/>
    <w:rsid w:val="00A37A93"/>
    <w:rsid w:val="00A55214"/>
    <w:rsid w:val="00A562D5"/>
    <w:rsid w:val="00A61A61"/>
    <w:rsid w:val="00A740BA"/>
    <w:rsid w:val="00A91719"/>
    <w:rsid w:val="00A93E70"/>
    <w:rsid w:val="00A95559"/>
    <w:rsid w:val="00AB7BB8"/>
    <w:rsid w:val="00AD1A3D"/>
    <w:rsid w:val="00AF0F09"/>
    <w:rsid w:val="00B10FB3"/>
    <w:rsid w:val="00B145F3"/>
    <w:rsid w:val="00B209F4"/>
    <w:rsid w:val="00B276D4"/>
    <w:rsid w:val="00B33BC0"/>
    <w:rsid w:val="00B348B9"/>
    <w:rsid w:val="00B4108B"/>
    <w:rsid w:val="00B458B0"/>
    <w:rsid w:val="00B45F16"/>
    <w:rsid w:val="00B538BE"/>
    <w:rsid w:val="00B5456A"/>
    <w:rsid w:val="00B564CB"/>
    <w:rsid w:val="00B612E2"/>
    <w:rsid w:val="00B71FA3"/>
    <w:rsid w:val="00B770B9"/>
    <w:rsid w:val="00B8308D"/>
    <w:rsid w:val="00B9651D"/>
    <w:rsid w:val="00BA0817"/>
    <w:rsid w:val="00BB6063"/>
    <w:rsid w:val="00BE10CB"/>
    <w:rsid w:val="00BE58D1"/>
    <w:rsid w:val="00BE7863"/>
    <w:rsid w:val="00C24721"/>
    <w:rsid w:val="00C540FA"/>
    <w:rsid w:val="00C62813"/>
    <w:rsid w:val="00C7534D"/>
    <w:rsid w:val="00C814D4"/>
    <w:rsid w:val="00C9685A"/>
    <w:rsid w:val="00CA7F9E"/>
    <w:rsid w:val="00CB3CC1"/>
    <w:rsid w:val="00CB68BF"/>
    <w:rsid w:val="00CC3075"/>
    <w:rsid w:val="00CD51B0"/>
    <w:rsid w:val="00CF6DD5"/>
    <w:rsid w:val="00D042E7"/>
    <w:rsid w:val="00D13BF6"/>
    <w:rsid w:val="00D16E22"/>
    <w:rsid w:val="00D25606"/>
    <w:rsid w:val="00D318BD"/>
    <w:rsid w:val="00D3347B"/>
    <w:rsid w:val="00D344A5"/>
    <w:rsid w:val="00D3590B"/>
    <w:rsid w:val="00D46302"/>
    <w:rsid w:val="00D478B0"/>
    <w:rsid w:val="00D52607"/>
    <w:rsid w:val="00D53C06"/>
    <w:rsid w:val="00D55D3E"/>
    <w:rsid w:val="00D65976"/>
    <w:rsid w:val="00D6681C"/>
    <w:rsid w:val="00D80AFC"/>
    <w:rsid w:val="00DA0679"/>
    <w:rsid w:val="00DA67DD"/>
    <w:rsid w:val="00DB7447"/>
    <w:rsid w:val="00DC154F"/>
    <w:rsid w:val="00DC1B66"/>
    <w:rsid w:val="00DC6D11"/>
    <w:rsid w:val="00DD0392"/>
    <w:rsid w:val="00DE1A6D"/>
    <w:rsid w:val="00E11177"/>
    <w:rsid w:val="00E12029"/>
    <w:rsid w:val="00E134B2"/>
    <w:rsid w:val="00E13E50"/>
    <w:rsid w:val="00E40E92"/>
    <w:rsid w:val="00E422DA"/>
    <w:rsid w:val="00E43C60"/>
    <w:rsid w:val="00E46AA9"/>
    <w:rsid w:val="00E607DD"/>
    <w:rsid w:val="00E75084"/>
    <w:rsid w:val="00E7522B"/>
    <w:rsid w:val="00E801EE"/>
    <w:rsid w:val="00E95580"/>
    <w:rsid w:val="00EA3135"/>
    <w:rsid w:val="00EB1DFE"/>
    <w:rsid w:val="00EB7D55"/>
    <w:rsid w:val="00EC30E2"/>
    <w:rsid w:val="00EC6C00"/>
    <w:rsid w:val="00ED27D9"/>
    <w:rsid w:val="00EF391A"/>
    <w:rsid w:val="00F1047E"/>
    <w:rsid w:val="00F115EF"/>
    <w:rsid w:val="00F15685"/>
    <w:rsid w:val="00F20095"/>
    <w:rsid w:val="00F223B0"/>
    <w:rsid w:val="00F46581"/>
    <w:rsid w:val="00F53DF4"/>
    <w:rsid w:val="00F618D2"/>
    <w:rsid w:val="00F7713A"/>
    <w:rsid w:val="00F902B9"/>
    <w:rsid w:val="00FA3534"/>
    <w:rsid w:val="00FA530C"/>
    <w:rsid w:val="00FD2340"/>
    <w:rsid w:val="00FD6034"/>
    <w:rsid w:val="00FF024C"/>
    <w:rsid w:val="2DBB19D7"/>
    <w:rsid w:val="7189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A744"/>
  <w15:docId w15:val="{397432E6-B0F8-4154-88D5-B6E82194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ail.yahoo.com/d/folders/1/messages/175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POLICY PROHIBITING SEXUAL HARASSMENT</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PROHIBITING SEXUAL HARASSMENT</dc:title>
  <dc:creator>Sarah Boehm</dc:creator>
  <cp:lastModifiedBy>Sarah Boehm</cp:lastModifiedBy>
  <cp:revision>2</cp:revision>
  <dcterms:created xsi:type="dcterms:W3CDTF">2017-12-14T16:44:00Z</dcterms:created>
  <dcterms:modified xsi:type="dcterms:W3CDTF">2019-05-31T19:05:00Z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